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 </w:t>
      </w:r>
      <w:r>
        <w:rPr>
          <w:spacing w:val="38"/>
          <w:sz w:val="28"/>
          <w:szCs w:val="28"/>
        </w:rPr>
        <w:t>10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.02</w:t>
      </w:r>
      <w:r>
        <w:rPr>
          <w:rFonts w:eastAsia="Lucida Sans Unicode" w:cs="Times New Roman"/>
          <w:spacing w:val="38"/>
          <w:sz w:val="28"/>
          <w:szCs w:val="28"/>
        </w:rPr>
        <w:t>.2022</w:t>
      </w:r>
      <w:r>
        <w:rPr>
          <w:spacing w:val="38"/>
          <w:sz w:val="28"/>
          <w:szCs w:val="28"/>
        </w:rPr>
        <w:t xml:space="preserve">                №</w:t>
      </w:r>
      <w:r>
        <w:rPr>
          <w:spacing w:val="38"/>
          <w:sz w:val="28"/>
          <w:szCs w:val="28"/>
        </w:rPr>
        <w:t xml:space="preserve">23  </w:t>
      </w:r>
      <w:r>
        <w:rPr>
          <w:spacing w:val="38"/>
          <w:sz w:val="28"/>
          <w:szCs w:val="28"/>
        </w:rPr>
        <w:t xml:space="preserve">          х.Мартыновка</w:t>
      </w:r>
    </w:p>
    <w:p>
      <w:pPr>
        <w:pStyle w:val="Normal"/>
        <w:rPr>
          <w:rFonts w:ascii="Times New Roman" w:hAnsi="Times New Roman"/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Style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мерах по сохранению и рациональному использованию </w:t>
      </w:r>
    </w:p>
    <w:p>
      <w:pPr>
        <w:pStyle w:val="Style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защитных сооружений и иных объектов </w:t>
      </w:r>
    </w:p>
    <w:p>
      <w:pPr>
        <w:pStyle w:val="Style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гражданской обороны на территории </w:t>
      </w:r>
    </w:p>
    <w:p>
      <w:pPr>
        <w:pStyle w:val="Style19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 xml:space="preserve">Курно-Липовского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требованиями ч.1 ст.3 и ч.2 ст. 8 Федерального закона от 12.02.1998 № 28-ФЗ «О гражданской обороне», постановлением Правительства Российской Федерации от 29.11.1999 № 1309 "О Порядке создания убежищ и иных объектов гражданской обороны" по сохранению защитных сооружений гражданской обороны и их рациональному использованию в мирное время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numPr>
          <w:ilvl w:val="0"/>
          <w:numId w:val="3"/>
        </w:numPr>
        <w:ind w:left="1418" w:hanging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Положение о порядке использования защитных сооружений гражданской обороны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территории Курно-Липовского сельского поселения Тарасовского района, согласно Приложению.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40" w:leader="none"/>
        </w:tabs>
        <w:ind w:left="1418" w:hanging="709"/>
        <w:jc w:val="both"/>
        <w:rPr/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Курно-Липовского  сельского поселения.</w:t>
      </w:r>
      <w:r>
        <w:rPr>
          <w:sz w:val="28"/>
          <w:szCs w:val="28"/>
        </w:rPr>
        <w:t xml:space="preserve"> .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Lucida Sans Unicode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Глава Администрации Курно-Липовского </w:t>
      </w:r>
    </w:p>
    <w:p>
      <w:pPr>
        <w:pStyle w:val="Normal"/>
        <w:jc w:val="both"/>
        <w:rPr>
          <w:rFonts w:ascii="Times New Roman" w:hAnsi="Times New Roman" w:eastAsia="Lucida Sans Unicode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сельского поселения                                                                         Р.А.Галиев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</w:t>
      </w:r>
    </w:p>
    <w:p>
      <w:pPr>
        <w:pStyle w:val="Normal"/>
        <w:jc w:val="right"/>
        <w:rPr>
          <w:rFonts w:ascii="Times New Roman" w:hAnsi="Times New Roman" w:eastAsia="Lucida Sans Unicode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Курно-Липовского сельского поселения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.02.2022  № </w:t>
      </w:r>
      <w:r>
        <w:rPr>
          <w:sz w:val="28"/>
          <w:szCs w:val="28"/>
        </w:rPr>
        <w:t>23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Положение </w:t>
      </w:r>
    </w:p>
    <w:p>
      <w:pPr>
        <w:pStyle w:val="2"/>
        <w:numPr>
          <w:ilvl w:val="1"/>
          <w:numId w:val="2"/>
        </w:numPr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о порядке использования защитных сооружений гражданской обороны 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sz w:val="28"/>
          <w:szCs w:val="28"/>
        </w:rPr>
        <w:t xml:space="preserve">территории  </w:t>
      </w:r>
      <w:r>
        <w:rPr>
          <w:rFonts w:eastAsia="Times New Roman" w:cs="Times New Roman" w:ascii="Times New Roman" w:hAnsi="Times New Roman"/>
          <w:i w:val="false"/>
          <w:color w:val="auto"/>
          <w:sz w:val="28"/>
          <w:szCs w:val="28"/>
          <w:lang w:val="ru-RU" w:bidi="ar-SA"/>
        </w:rPr>
        <w:t xml:space="preserve">Курно-Липовского </w:t>
      </w:r>
      <w:r>
        <w:rPr>
          <w:rFonts w:cs="Times New Roman" w:ascii="Times New Roman" w:hAnsi="Times New Roman"/>
          <w:i w:val="false"/>
          <w:sz w:val="28"/>
          <w:szCs w:val="28"/>
        </w:rPr>
        <w:t>сельского поселения Тарасовского района</w:t>
      </w:r>
    </w:p>
    <w:p>
      <w:pPr>
        <w:pStyle w:val="Formattexttopleveltext"/>
        <w:spacing w:before="0" w:after="0"/>
        <w:ind w:left="-567"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3"/>
        <w:numPr>
          <w:ilvl w:val="2"/>
          <w:numId w:val="2"/>
        </w:numPr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Защитные сооружения гражданской обороны (объекты гражданской обороны) являются государственной собственностью.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Защитные сооружения гражданской обороны (далее - ЗС ГО) не входят в состав приватизированного имущества предприятия, находятся на балансе и в пользовании предприятия, организации или учреждения независимо от его формы собственности в установленном порядке. В случае передачи ЗС ГО в аренду пользователю заключается в установленном порядке договор о правах и обязанностях в отношении защитного сооружения и на выполнение мероприятий гражданской обороны, в который включаются условия расторжения договора и освобождения помещений в соответствии со СНИП 2-01-51-90, и оговариваются условия оплаты за аренду.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Защитные сооружения, предназначенные для укрытия населения по месту жительства, могут передаваться по договору предприятиям и организациям, ответственным за их содержание, для использования в хозяйственных целях.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организациях, эксплуатирующих ЗС ГО, назначаются ответственные должностные лица, в обязанности которых входят организация их правильного учета, содержания помещений, обеспечение сохранности.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Для обслуживания ЗС ГО в мирное время в организациях, эксплуатирующих эти сооружения, создаются группы (звенья) по обслуживанию ЗС ГО из расчета одна группа (звено) на каждый объект ГО в зависимости от их вместимости. Командирами групп (звеньев) назначаются лица из числа руководящего состава организации, цеха, участка, смены.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Готовность и использование ЗС ГО по предназначению обеспечивают руководители организаций, на учете которых они находятся. Руководители организаций несут персональную ответственность за выполнение мероприятий ГО.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 обязанности руководителей организаций входят планирование и организация выполнения мероприятий: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сохранности и готовности ЗС ГО к приему укрываемых, своевременному техническому обслуживанию, содержанию и ремонту;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эффективного использования помещений ЗС ГО для нужд организаций и обслуживания населения;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подготовке личного состава групп (звеньев) по обслуживанию ЗС ГО, обучению рабочих и служащих правилам пользования ЗС ГО;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осуществлению систематического контроля за содержанием, эксплуатацией и готовностью ЗС ГО.</w:t>
      </w:r>
    </w:p>
    <w:p>
      <w:pPr>
        <w:pStyle w:val="3"/>
        <w:numPr>
          <w:ilvl w:val="2"/>
          <w:numId w:val="2"/>
        </w:numPr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Требования к эксплуатации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режиме повседневной деятельности ЗС ГО должны использоваться для нужд организаций, а также для обслуживания населения по решению руководителей организаций или администрации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Курно-Липовского </w:t>
      </w:r>
      <w:r>
        <w:rPr>
          <w:rFonts w:cs="Times New Roman"/>
          <w:sz w:val="28"/>
          <w:szCs w:val="28"/>
        </w:rPr>
        <w:t xml:space="preserve">сельского поселения 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ЗС ГО допускается использовать под: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санитарно-бытовые помещения;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культурного обслуживания и для учебных занятий;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помещения дежурных электриков, связистов, ремонтных бригад;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гаражи для легковых автомобилей;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складские помещения для хранения несгораемых, а также сгораемых материалов при наличии автоматической системы пожаротушения;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торговли и питания;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помещения;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бытового обслуживания населения;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вспомогательные помещения лечебных учреждений.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ЗС.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При эксплуатации ЗС ГО в мирное время запрещается: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перепланировка помещений;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отверстий или проемов в ограждающих конструкциях;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герметизации и гидроизоляции;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демонтаж оборудования;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сгораемых синтетических материалов при отделке помещений.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Пути движения, входы и аварийные выходы должны быть свободными, не допускается их загромождение.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Во входах, используемых в мирное время, защитно-герметические и герметические ворота и двери должны находится в открытом положении на подставках и прикрываться съемными легкими экранами или щитами. На период использования помещений в интересах производства и обслуживания населения для закрытия дверных проемов устанавливаются обычные двери.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Элементы инженерных систем внутри ЗС ГО должны быть окрашены в разные цвета согласно приказу МЧС России от 12.12.2002 N 583.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 напорных емкостях аварийного запаса питьевой воды должен обеспечиваться проток воды с полным обменом ее в течение 2 суток.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Аварийные безнапорные емкости для питьевой воды должны содержаться в чистоте и заполняться водой при переводе на режим убежища после освидетельствования их представителями медицинской службы.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Водозаборные скважины, устраиваемые в качестве источника водоснабжения, следует периодически (не реже одного раза в месяц) включать на 2 - 3 часа для откачки воды.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Аварийные резервуары для сбора фекалий должны быть закрыты, пользоваться ими при режиме повседневной деятельности запрещается. Задвижки на выпусках из резервуаров должны быть закрыты.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Санузлы, не используемые в хозяйственных целях, должны быть закрыты и опечатаны. Допускается использование их во время учений, но при этом следует производить периодический осмотр и ремонт.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Дизельные электростанции (далее - ДЭС) после испытаний подлежат консервации. Расконсервация их производится в период перевода защитных сооружений на режим убежища и в период учений. После расконсервации не реже одного раза в неделю они запускаются и испытываются под нагрузкой в течение 30 мин. Результаты заносятся в журнал учета работы ДЭС.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ЗС ГО на потенциально опасных объектах и территориях при необходимости должны обеспечивать защиту людей от поражающих факторов при ЧС природного и техногенного характера.</w:t>
      </w:r>
    </w:p>
    <w:p>
      <w:pPr>
        <w:pStyle w:val="Formattexttopleveltext"/>
        <w:spacing w:before="0" w:after="0"/>
        <w:ind w:left="-567" w:firstLine="567"/>
        <w:jc w:val="both"/>
        <w:rPr/>
      </w:pPr>
      <w:r>
        <w:rPr>
          <w:sz w:val="28"/>
          <w:szCs w:val="28"/>
        </w:rPr>
        <w:t xml:space="preserve">2.15. При эксплуатации ЗС ГО в части соблюдения противопожарных требований надлежит руководствоваться </w:t>
      </w:r>
      <w:hyperlink r:id="rId2">
        <w:r>
          <w:rPr>
            <w:color w:val="000000"/>
            <w:sz w:val="28"/>
            <w:szCs w:val="28"/>
          </w:rPr>
          <w:t>правилами пожарной безопасности в Российской Федерации</w:t>
        </w:r>
      </w:hyperlink>
      <w:r>
        <w:rPr>
          <w:sz w:val="28"/>
          <w:szCs w:val="28"/>
        </w:rPr>
        <w:t>.</w:t>
      </w:r>
    </w:p>
    <w:p>
      <w:pPr>
        <w:pStyle w:val="3"/>
        <w:numPr>
          <w:ilvl w:val="2"/>
          <w:numId w:val="2"/>
        </w:numPr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содержанием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Состояние ЗС ГО проверяется при ежегодных, специальных (внеочередных) осмотрах, комплексных проверках и инвентаризации.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Результаты проверки состояния ЗС ГО оформляются актом.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На основании акта и ведомости дефектов составляются годовые планы планово-предупредительных ремонтов технических средств и строительных конструкций.</w:t>
      </w:r>
    </w:p>
    <w:p>
      <w:pPr>
        <w:pStyle w:val="3"/>
        <w:numPr>
          <w:ilvl w:val="2"/>
          <w:numId w:val="2"/>
        </w:numPr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Техническое обслуживание и ремонт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N 3;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ремонт;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ремонт.</w:t>
      </w:r>
    </w:p>
    <w:p>
      <w:pPr>
        <w:pStyle w:val="3"/>
        <w:numPr>
          <w:ilvl w:val="2"/>
          <w:numId w:val="2"/>
        </w:numPr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Приведение в готовность к приему укрываемых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Мероприятия по подготовке ЗС ГО к приему укрываемых включают: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проходов к ЗС ГО и установку указателей;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открытие всех входов;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освобождение помещений;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в помещениях нар, мебели, приборов;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расконсервации инженерно-технического оборудования;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снятие обычных дверей;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проверку исправности защитно-герметических и герметических дверей, ставней и затворов;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закрытие всех защитно-герметических устройств;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закрытие и герметизацию воздухозаборных и вытяжных отверстий и воздуховодов;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проверку состояния и освобождение аварийного выхода, закрытие защитно-герметических ворот, дверей и ставней;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проверку работоспособности систем вентиляции, отопления, водоснабжения, канализации, энергоснабжения и отключающих устройств;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расконсервацию оборудования дизельных электростанций и артскважин;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при необходимости емкостей горюче-смазочных материалов;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проверку убежища на герметичность;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открытие санузлов;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проверку наличия аварийных запасов воды, подключение сетей убежища к внешнему водопроводу;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переключение системы освещения на режим убежища;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и подключение репродукторов и телефонов;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проверку и доукомплектование инструментом, инвентарем, приборами, средствами индивидуальной защиты;</w:t>
      </w:r>
    </w:p>
    <w:p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 помещений.</w:t>
      </w:r>
    </w:p>
    <w:p>
      <w:pPr>
        <w:pStyle w:val="Normal"/>
        <w:keepNext w:val="true"/>
        <w:keepLines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0" w:before="0" w:after="0"/>
        <w:ind w:left="0" w:hanging="0"/>
        <w:jc w:val="right"/>
        <w:outlineLvl w:val="0"/>
        <w:rPr>
          <w:b/>
          <w:b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825" w:hanging="1116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2">
    <w:name w:val="Нижний колонтитул Знак"/>
    <w:qFormat/>
    <w:rPr/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13">
    <w:name w:val="Интернет-ссылка"/>
    <w:rPr>
      <w:rFonts w:cs="Times New Roman"/>
      <w:color w:val="0066CC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="119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b/>
      <w:color w:val="auto"/>
      <w:kern w:val="2"/>
      <w:sz w:val="24"/>
      <w:szCs w:val="20"/>
      <w:lang w:val="ru-RU" w:eastAsia="hi-IN" w:bidi="ar-SA"/>
    </w:rPr>
  </w:style>
  <w:style w:type="paragraph" w:styleId="Style1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;Arial" w:hAnsi="Calibri;Arial" w:eastAsia="Times New Roman" w:cs="Calibri;Arial"/>
      <w:color w:val="auto"/>
      <w:kern w:val="0"/>
      <w:sz w:val="22"/>
      <w:szCs w:val="22"/>
      <w:lang w:val="ru-RU" w:eastAsia="en-US" w:bidi="ar-SA"/>
    </w:rPr>
  </w:style>
  <w:style w:type="paragraph" w:styleId="Formattexttopleveltext">
    <w:name w:val="formattext topleveltext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4">
    <w:name w:val="WW8Num14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866832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LibreOffice/7.0.3.1$Windows_X86_64 LibreOffice_project/d7547858d014d4cf69878db179d326fc3483e082</Application>
  <Pages>5</Pages>
  <Words>1159</Words>
  <Characters>8061</Characters>
  <CharactersWithSpaces>9510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2022-02-10T08:20:32Z</cp:lastPrinted>
  <dcterms:modified xsi:type="dcterms:W3CDTF">2022-02-10T08:20:54Z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