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4E" w:rsidRDefault="002A064E" w:rsidP="002A064E">
      <w:pPr>
        <w:pStyle w:val="21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РОССИЙСКАЯ ФЕДЕРАЦИЯ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РОСТОВСКАЯ ОБЛАСТЬ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ТАРАСОВСКИЙ РАЙОН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МУНИЦИПАЛЬНОЕ ОБРАЗОВАНИЕ</w:t>
      </w:r>
    </w:p>
    <w:p w:rsidR="00313729" w:rsidRPr="007C39EC" w:rsidRDefault="00313729" w:rsidP="00313729">
      <w:pPr>
        <w:pStyle w:val="21"/>
        <w:ind w:firstLine="567"/>
        <w:jc w:val="center"/>
        <w:rPr>
          <w:szCs w:val="28"/>
        </w:rPr>
      </w:pPr>
      <w:r w:rsidRPr="007C39EC">
        <w:rPr>
          <w:color w:val="000000"/>
          <w:szCs w:val="28"/>
        </w:rPr>
        <w:t>«</w:t>
      </w:r>
      <w:r w:rsidR="00E66355">
        <w:rPr>
          <w:color w:val="000000"/>
          <w:szCs w:val="28"/>
        </w:rPr>
        <w:t>КУРНО-ЛИПОВСКОЕ</w:t>
      </w:r>
      <w:r w:rsidRPr="007C39EC">
        <w:rPr>
          <w:color w:val="000000"/>
          <w:szCs w:val="28"/>
        </w:rPr>
        <w:t xml:space="preserve"> СЕЛЬСКОЕ ПОСЕЛЕНИЕ»</w:t>
      </w:r>
    </w:p>
    <w:p w:rsidR="00313729" w:rsidRPr="007C39EC" w:rsidRDefault="00313729" w:rsidP="00313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3729" w:rsidRPr="007C39EC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3729" w:rsidRPr="007C39EC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943" w:type="dxa"/>
        <w:tblLook w:val="01E0" w:firstRow="1" w:lastRow="1" w:firstColumn="1" w:lastColumn="1" w:noHBand="0" w:noVBand="0"/>
      </w:tblPr>
      <w:tblGrid>
        <w:gridCol w:w="3794"/>
        <w:gridCol w:w="2410"/>
        <w:gridCol w:w="3739"/>
      </w:tblGrid>
      <w:tr w:rsidR="00313729" w:rsidRPr="007C39EC" w:rsidTr="00B34A5A">
        <w:tc>
          <w:tcPr>
            <w:tcW w:w="3794" w:type="dxa"/>
          </w:tcPr>
          <w:p w:rsidR="00313729" w:rsidRPr="007C39EC" w:rsidRDefault="008C227D" w:rsidP="00EF0BC7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2019 г.</w:t>
            </w:r>
          </w:p>
        </w:tc>
        <w:tc>
          <w:tcPr>
            <w:tcW w:w="2410" w:type="dxa"/>
          </w:tcPr>
          <w:p w:rsidR="00313729" w:rsidRPr="007C39EC" w:rsidRDefault="00313729" w:rsidP="008C227D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C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2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</w:tc>
        <w:tc>
          <w:tcPr>
            <w:tcW w:w="3739" w:type="dxa"/>
          </w:tcPr>
          <w:p w:rsidR="00313729" w:rsidRPr="007C39EC" w:rsidRDefault="00313729" w:rsidP="008C227D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227D">
              <w:rPr>
                <w:rFonts w:ascii="Times New Roman" w:hAnsi="Times New Roman" w:cs="Times New Roman"/>
                <w:sz w:val="28"/>
                <w:szCs w:val="28"/>
              </w:rPr>
              <w:t>артыновка</w:t>
            </w:r>
            <w:proofErr w:type="spellEnd"/>
          </w:p>
        </w:tc>
      </w:tr>
    </w:tbl>
    <w:p w:rsidR="00313729" w:rsidRPr="007C39EC" w:rsidRDefault="00313729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729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39EC">
        <w:rPr>
          <w:rFonts w:ascii="Times New Roman" w:hAnsi="Times New Roman" w:cs="Times New Roman"/>
          <w:sz w:val="28"/>
          <w:szCs w:val="28"/>
        </w:rPr>
        <w:t>О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C92ECB" w:rsidRPr="007C39EC">
        <w:rPr>
          <w:rFonts w:ascii="Times New Roman" w:hAnsi="Times New Roman" w:cs="Times New Roman"/>
          <w:sz w:val="28"/>
          <w:szCs w:val="28"/>
        </w:rPr>
        <w:t>принятии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13729" w:rsidRPr="007C39EC">
        <w:rPr>
          <w:rFonts w:ascii="Times New Roman" w:hAnsi="Times New Roman" w:cs="Times New Roman"/>
          <w:sz w:val="28"/>
          <w:szCs w:val="28"/>
        </w:rPr>
        <w:t>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области»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Рассмотрев, представленный главой 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про</w:t>
      </w:r>
      <w:r w:rsidRPr="007C39EC">
        <w:rPr>
          <w:rFonts w:ascii="Times New Roman" w:hAnsi="Times New Roman" w:cs="Times New Roman"/>
          <w:sz w:val="28"/>
          <w:szCs w:val="28"/>
        </w:rPr>
        <w:t xml:space="preserve">ект Положения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", руководствуясь статьей 28 Федерального закона от 06.10.2003 № 131-ФЗ "Об общих принципах организации местного самоуправления в Российской Федерации", статьей </w:t>
      </w:r>
      <w:r w:rsidR="00B34A5A" w:rsidRPr="007C39EC">
        <w:rPr>
          <w:rFonts w:ascii="Times New Roman" w:hAnsi="Times New Roman" w:cs="Times New Roman"/>
          <w:sz w:val="28"/>
          <w:szCs w:val="28"/>
        </w:rPr>
        <w:t>13</w:t>
      </w:r>
      <w:r w:rsidRPr="007C39E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B34A5A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поселения, учитывая мнение постоянных депутатских комиссий, 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РЕШИЛ</w:t>
      </w:r>
      <w:r w:rsidR="00C92ECB" w:rsidRPr="007C39EC">
        <w:rPr>
          <w:rFonts w:ascii="Times New Roman" w:hAnsi="Times New Roman" w:cs="Times New Roman"/>
          <w:sz w:val="28"/>
          <w:szCs w:val="28"/>
        </w:rPr>
        <w:t>О</w:t>
      </w:r>
      <w:r w:rsidRPr="007C39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Принять Положение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92ECB" w:rsidRPr="007C39EC" w:rsidRDefault="00242A2F" w:rsidP="00C92ECB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</w:t>
      </w:r>
      <w:r w:rsidR="00C92ECB" w:rsidRPr="007C39EC">
        <w:rPr>
          <w:rFonts w:ascii="Times New Roman" w:hAnsi="Times New Roman" w:cs="Times New Roman"/>
          <w:kern w:val="1"/>
          <w:sz w:val="28"/>
          <w:szCs w:val="28"/>
        </w:rPr>
        <w:t>Решение вступает в силу со дня его официального опубликования.</w:t>
      </w:r>
    </w:p>
    <w:p w:rsidR="00C92ECB" w:rsidRPr="007C39EC" w:rsidRDefault="00C92ECB" w:rsidP="00C92EC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9E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решения возложить на председателя Собрания депутатов - главу </w:t>
      </w:r>
      <w:proofErr w:type="spellStart"/>
      <w:r w:rsidR="008C227D">
        <w:rPr>
          <w:rFonts w:ascii="Times New Roman" w:hAnsi="Times New Roman" w:cs="Times New Roman"/>
          <w:b w:val="0"/>
          <w:bCs w:val="0"/>
          <w:sz w:val="28"/>
          <w:szCs w:val="28"/>
        </w:rPr>
        <w:t>Курно-</w:t>
      </w:r>
      <w:proofErr w:type="gramStart"/>
      <w:r w:rsidR="008C227D">
        <w:rPr>
          <w:rFonts w:ascii="Times New Roman" w:hAnsi="Times New Roman" w:cs="Times New Roman"/>
          <w:b w:val="0"/>
          <w:bCs w:val="0"/>
          <w:sz w:val="28"/>
          <w:szCs w:val="28"/>
        </w:rPr>
        <w:t>Липовского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</w:t>
      </w:r>
      <w:proofErr w:type="gram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8C227D">
        <w:rPr>
          <w:rFonts w:ascii="Times New Roman" w:hAnsi="Times New Roman" w:cs="Times New Roman"/>
          <w:b w:val="0"/>
          <w:bCs w:val="0"/>
          <w:sz w:val="28"/>
          <w:szCs w:val="28"/>
        </w:rPr>
        <w:t>П.Н.Горбаткова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2ECB" w:rsidRPr="007C39EC" w:rsidRDefault="00C92ECB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23CF" w:rsidRPr="007C39EC" w:rsidRDefault="003D23CF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4D39" w:rsidRPr="007C39EC" w:rsidRDefault="008E4D39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3D23CF" w:rsidRPr="007C39EC" w:rsidTr="00A720DA">
        <w:tc>
          <w:tcPr>
            <w:tcW w:w="5211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8C22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Курно-Липовского</w:t>
            </w:r>
            <w:proofErr w:type="spell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D23CF" w:rsidRPr="007C39EC" w:rsidRDefault="008C227D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П.Н.Горбатков</w:t>
            </w:r>
            <w:proofErr w:type="spellEnd"/>
          </w:p>
        </w:tc>
      </w:tr>
    </w:tbl>
    <w:p w:rsidR="00C8523A" w:rsidRPr="007C39EC" w:rsidRDefault="00C8523A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от </w:t>
      </w:r>
      <w:r w:rsidR="008C227D">
        <w:rPr>
          <w:rFonts w:ascii="Times New Roman" w:hAnsi="Times New Roman" w:cs="Times New Roman"/>
          <w:sz w:val="28"/>
          <w:szCs w:val="28"/>
        </w:rPr>
        <w:t>___________ 2019 г.</w:t>
      </w:r>
      <w:r w:rsidRPr="007C39EC">
        <w:rPr>
          <w:rFonts w:ascii="Times New Roman" w:hAnsi="Times New Roman" w:cs="Times New Roman"/>
          <w:sz w:val="28"/>
          <w:szCs w:val="28"/>
        </w:rPr>
        <w:t xml:space="preserve"> № </w:t>
      </w:r>
      <w:r w:rsidR="008C227D">
        <w:rPr>
          <w:rFonts w:ascii="Times New Roman" w:hAnsi="Times New Roman" w:cs="Times New Roman"/>
          <w:sz w:val="28"/>
          <w:szCs w:val="28"/>
        </w:rPr>
        <w:t>____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Настоящее Положение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 (далее - Положение)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Устав сельского поселения), устанавливает Порядок организации и проведения публичных слушаний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- сельское поселение),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 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3D23CF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Положении: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- это публичное обсуждение проектов нормативных правовых актов по вопросам местного значения, проводимое в соответствии с федеральными законами, законами </w:t>
      </w:r>
      <w:r w:rsidR="003D23CF" w:rsidRPr="007C39E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среди граждан Российской Федерации, место жительства которых расположено в границах муниципального образования </w:t>
      </w:r>
      <w:r w:rsidR="00A272AC" w:rsidRPr="007C39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39EC">
        <w:rPr>
          <w:rFonts w:ascii="Times New Roman" w:hAnsi="Times New Roman" w:cs="Times New Roman"/>
          <w:sz w:val="28"/>
          <w:szCs w:val="28"/>
        </w:rPr>
        <w:t xml:space="preserve">(далее - сельское поселение) и, обладающих активным избирательным правом. Инициаторы проведения публичных слушаний - население сельского поселения, 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72AC" w:rsidRPr="007C39EC">
        <w:rPr>
          <w:rFonts w:ascii="Times New Roman" w:hAnsi="Times New Roman" w:cs="Times New Roman"/>
          <w:sz w:val="28"/>
          <w:szCs w:val="28"/>
        </w:rPr>
        <w:t>–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A272AC" w:rsidRPr="007C39EC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), глава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Статья 2. Цель проведения публичных слушаний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целях обсуждения проектов нормативных правовых актов с участием населения сельского поселения для выявления, учета мнения и интересов населения. </w:t>
      </w:r>
    </w:p>
    <w:p w:rsidR="008C227D" w:rsidRDefault="008C227D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lastRenderedPageBreak/>
        <w:t>Статья 3. Вопросы публичных слушаний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На публичные слушания могут быть вынесены нормативные правовые акты органов местного самоуправления сельского поселения по вопросам местного значения.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На публичные слушания должны выноситься: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272AC" w:rsidRPr="007C39EC" w:rsidRDefault="00242A2F" w:rsidP="00FB6234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3)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6234" w:rsidRPr="007C39EC">
        <w:rPr>
          <w:rFonts w:ascii="Verdana" w:hAnsi="Verdana"/>
          <w:sz w:val="28"/>
          <w:szCs w:val="28"/>
        </w:rPr>
        <w:t xml:space="preserve">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 </w:t>
      </w:r>
    </w:p>
    <w:p w:rsidR="00FB6234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опр</w:t>
      </w:r>
      <w:r w:rsidR="00FB333C" w:rsidRPr="007C39EC">
        <w:rPr>
          <w:rFonts w:ascii="Times New Roman" w:hAnsi="Times New Roman" w:cs="Times New Roman"/>
          <w:sz w:val="28"/>
          <w:szCs w:val="28"/>
        </w:rPr>
        <w:t>еделяется настоящим Положением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Результаты публичных слушаний подлежат официальному опубликованию (обнародованию) в соответствии с Уставом сельского поселения. </w:t>
      </w:r>
    </w:p>
    <w:p w:rsidR="008C227D" w:rsidRDefault="008C227D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lastRenderedPageBreak/>
        <w:t>Статья 4. Инициаторы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Публичные слушания проводятся по инициативе населения сельского поселения, 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главы сельского поселения.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Инициаторами проведения публичных слушаний от имени населения сельского поселения могут быть: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инициативная группа жителей сельского поселения;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общественные объединения, зарегистрированные в порядке, установленном действующим законодательством и действующими на территории сельского поселения не менее одного года;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3) отделения политических партий, действующие на территории сельского поселения. Количество подписей, которое необходимо собрать инициаторам проведения публичных слушаний по инициативе населения, составляет 3 процента от количества жителей сельского поселения, обладающих активным избирательным правом и зарегистрированных в сельском поселении.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5. Назначение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или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а по инициативе главы сельского поселения - постановлением администрации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 решении (постановлении) о назначении публичных слушаний указываются: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2.1. Сведения об инициаторе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Вопросы, выносимые на публичные слушания;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2.3. Время и место проведения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2.4. Сроки подачи предложений и рекомендаций экспертов по обсуждаемым вопросам;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2.5. Состав оргкомитета по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В состав оргкомитета на паритетных началах по численному составу могут быть включены: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депутатов; представители администрации сельского поселения; представители общественности, инициативной группы по проведению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состав оргкомитета могут быть включены специалисты для выполнения консультационных работ по обсуждаемой проблеме.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постановление администрации сельского поселения о назначении публичных слушаний подлежит обязательному опубликованию (обнародованию) в Порядке, установленном для официального опубликования (обнародования) муниципальных правовых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актов в соответствии с Уставом сельского поселения,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Для принятия решения о назначении публичных слушаний по инициативе населения его инициаторы направляют в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обращение, которое должно включать в себя: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5.1. Ходатайство о проведении публичных слушаний с указанием темы и обоснованием ее общественной значимости;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5.2. Подписные листы жителей поселения, согласно Приложению 1.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Решение о назначении публичных слушаний по нормативным правовым актам, принимаемым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может приниматься после принятия проекта нормативного правового акта.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проведения публичных слушаний, выдвинутой по инициативе населения сельского поселения, ее инициаторы могут повторно внести предложение о назначении публичных слушаний по проекту нормативного правового акта с приложением не менее 5 процентов подписей жителей сельского поселения, обладающих активным избирательным правом, в поддержку назначения публичных слушаний. В данном случае слушания по указанному проекту нормативного правового акта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 обязательном порядке.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6. Подготовка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Порядок подготовки и проведения зависит от того кем инициируются и назначаются публичные слушания, а также от содержания проекта нормативного правового акта, выносимого на публичные слушания.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публичные слушания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организационно- техническое и информационное обеспечение проведения публичных слушаний возлагается на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Если публичные слушания назначаются администрацией сельского поселения, организационно-техническое и информационное обеспечение проведения публичных слушаний возлагается на администрацию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администрация сельского поселения не позднее 5 дней со дня принятия решения о назначении публичных слушаний организует проведение первого заседания оргкомитета и в дельнейшем осуществляет организационно-техническое и информационное обеспечение деятельности оргкомитета.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5. Источником финансирования расходов по проведению публичных слушаний является бюджет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На первом заседании члены оргкомитета избирают председателя и секретаря оргкомитета и определяют их полномочия по организации работы оргкомитета и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 Оргкомитет: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7.1. Организует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 работу по проведению публичных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7.2. Оповещает население сельского поселения через средства массовой информации и на досках объявлений в помещениях, определенных Уставом сельского поселения для обнародования муниципальных правовых актов, размещает на официальном сайте поселения в информационно-телекоммуникационной сети "Интернет" (далее - сеть "Интернет"); </w:t>
      </w:r>
    </w:p>
    <w:p w:rsidR="00FB333C" w:rsidRPr="007C39EC" w:rsidRDefault="00242A2F" w:rsidP="006055E6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7.3. Обеспечивает публикацию темы и перечня вопросов публичных слушаний, проекта нормативного правового акта (его полный текст) в средствах массовой информации в Порядке, установленном для официального опубликования (обнародования) муниципальных правовых актов в соответствии с Уставом сельского поселения, иной официальной информации, и размещает на официальном сайте поселения в сети "Интернет"</w:t>
      </w:r>
      <w:r w:rsidR="006055E6" w:rsidRPr="007C39EC">
        <w:rPr>
          <w:rFonts w:ascii="Verdana" w:hAnsi="Verdana"/>
          <w:sz w:val="28"/>
          <w:szCs w:val="28"/>
        </w:rPr>
        <w:t xml:space="preserve"> </w:t>
      </w:r>
      <w:r w:rsidR="006055E6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</w:t>
      </w:r>
      <w:r w:rsidR="00D20D8F" w:rsidRPr="007C39EC">
        <w:rPr>
          <w:rFonts w:ascii="Verdana" w:hAnsi="Verdana"/>
          <w:sz w:val="28"/>
          <w:szCs w:val="28"/>
        </w:rPr>
        <w:t xml:space="preserve"> </w:t>
      </w:r>
      <w:r w:rsidR="00D20D8F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 экспозиции или экспозиций такого проекта;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7.5. Проводит обобщение материалов, представленных инициаторами и экспертами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7.6. Составляет список экспертов публичных слушаний и направляет им приглашения. В состав экспертов в обязательном порядке включаются все должностные лица, специалисты, представители общественности, подготовившие рекомендации и предложения для проекта решения собрания участников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7.7. Утверждает повестку дня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7.8. Назначает лиц, ответственных за консультации по вопросам, связанным с нормативным правовым актом, выносимым на публичные слушания и определяет номера контактных телефонов;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7.9. Назначает ведущего и секретаря публичных слушаний для ведения публичных слушаний, и составления протокола;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7.10. Определяет докладчиков (содокладчиков);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7.11. Устанавливает порядок выступлений на публичных слушаниях;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7.12.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экспертами;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.13. Регистрирует участников публичных слушаний и обеспечивает их проектом итогового документа;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7.14. Обнародует или публикует результаты публичных слушаний не позднее, чем через 15 дней со дня их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7.15.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8. Оргкомитет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Оргкомитет подотчетен в своей деятельности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поселения, в соответствии с тем, каким органом местного самоуправления назначены публичные слушания.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7. Проверка достоверности подписей граждан в подписных листах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По распоряжению председателя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для проверки подписей граждан в поддержку инициативы проведения публичных слушаний создается рабочая группа с привлечением специалистов, экспертов и представителей инициаторов публичных слушаний. Проверке подлежат не менее 20 процентов от общего числа подписей.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граждан обнаруживается несколько подписей одного и того же лица, учитывается только одна подпись. Недействительными считаются: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лиц, не обладающих активным избирательным правом, а также подписи лиц, указавших в подписном листе сведения, не соответствующие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действительности. В этом случае подпись признается не действительной при наличии официальной справки органа внутренних дел;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- подписи лиц без указания каких-либо из требуемых в соответствии с настоящим Положением сведений, либо без указания даты собственноручного внесения гражданином своей подписи в подписной лист;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 с исправлением в дате ее внесения в подписной лист, если это исправление специально не оговорено гражданином.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подписей в количестве более 25 процентов от числа проверенных подписей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выносит решение об отказе в проведении публичных слушаний по инициативе населения.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8. Информационное обеспечение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Оргкомитет информирует население сельского поселения через средства массовой информации, либо путем размещения информации на досках объявлений в помещениях, определенных Уставом сельского поселения для обнародования муниципальных правовых актов (далее - досках объявлений), о проводимых публичных слушаниях не позднее 15 дней до даты проведения.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Публикуемая информация должна содержать следующее: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2.1. Сведения об инициаторах проведения публичных слушаний;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Время и место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2.3. Проект нормативного правового акта, выносимого на обсуждение или информацию о месте ознакомления с ним;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2.4. Сроки приема предложений по обсуждаемому проекту;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2.5. Контактную информацию оргкомитета.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Оргкомитет информирует население через средства массовой информации, либо путем размещения информации на досках объявлений о ходе подготовки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Оргкомитет, кроме информирования населения через средства массовой информации, размещения информации на досках объявлений, может использовать и официальный сайт сельского поселения для информирования населения о проводимых публичных слушаниях.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9. Участники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Участниками публичных слушаний, получающими право на выступление для аргументаций своих предложений, являются эксперты, иные лица, которые внесли в оргкомитет в письменной форме свои рекомендации по вопросам публичных слушаний не позднее трех дней до даты проведения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а также депутаты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должностные лица администрации сельского поселения, представители инициаторов проведения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Участниками публичных слушаний без права выступления могут быть все заинтересованные жители сельского поселения.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10. Проведение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Перед началом проведения публичных слушаний оргкомитет организует регистрацию его участников. Участники публичных слушаний - жители сельского поселения регистрируются путем предъявления паспорта или иного документа, удостоверяющего его личность.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оргкомитета по порядку проведения собрания, представляет себя и секретаря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Секретарь собрания ведет протокол.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4. Время выступления участников публичных слушаний определяется голосованием участников публичных слушаний, исходя из количества выступающих и времени, отведенного для проведения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5. Для организации прений ведущий объявляет вопрос, по которому проводится обсуждение, и предоставляет слово участникам публичных слушаний в порядке поступления их предложений.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6. По окончании выступления (или при истечении предоставленного времени), ведущий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 Решения участников публичных слушаний об изменении их позиции по рассматриваемому вопросу отражается в протоколе.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По итогам проведения публичных слушаний принимаются рекомендации и предложения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по проекту нормативного правового акта, оформленные в виде решения собрания участников публичных слушаний. Рекомендации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могут содержать изложение альтернативных точек зрения по обсуждаемым вопросам. Решение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собрания участников публичных слушаний принимается большинством голосов от числа зарегистрированных участников публичных слушаний открытым голосованием.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 На публичных слушаниях могут также приниматься: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10.1. Обращения к жителям поселения.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10.2. Обращения в органы государственной власти и органы местного самоуправления иных муниципальных образований.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10.3. Рекомендации предприятиям, учреждениям и организациям, расположенным на территории сельского поселения.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11. Результаты публичных слушаний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1. Оргкомитет обеспечивает публикацию решения собрания участников публичных слушаний в средствах массовой информации, либо размещает на досках объявлений на территории сельского поселения в течение 15 дней со дня проведения публичных слушаний.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Все дополнительно поступившие предложения и материалы оформляются в качестве приложений к решению собрания участников публичных слушаний и передаются вместе с ним в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для принятия решения.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вправе образовать временную комиссию, временную депутатскую группу по обобщению результатов публичных слушаний по проекту нормативного правового акта либо поручить обобщение результатов обсуждения ответственной комиссии.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включает вопрос о рассмотрении результатов публичных слушаний в повестку дня заседания 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Глава сельского поселения включает вопрос о рассмотрении результатов публичных слушаний в повестку дня очередного заседания администрации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либо на заседании администрации сельского поселения председатель оргкомитета докладывает о работе оргкомитета, итогах проведенных публичных слушаний и представляет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итоговый документ публичных слушаний в соответствии с компетенцией, установленной Уставом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Рассмотрение рекомендаций публичных слушаний проводится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в администрации сельского поселения в соответствии с компетенцией, установленной Уставом сельского поселения, по каждому вопросу публичных слушаний, по которому есть рекомендации в решении собрания участников публичных слушаний.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>или администрацией сельского поселения принимается решение в соответствии с компетенцией, установленной Уставом сельского поселения, по существу рассматриваемого вопроса.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Решение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администрации сельского поселения, принятое по итогам рассмотрения результатов публичных слушаний, подлежит обязательному опубликованию (обнародованию) в Порядке, установленном для официального опубликования (обнародования) муниципальных правовых актов в соответствии с Уставом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поселения в сети "Интернет". 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12. Вступление в силу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его официального обнародования.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412EF6" w:rsidRPr="007C39EC" w:rsidTr="00A720DA"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8C22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Курно-Липовского</w:t>
            </w:r>
            <w:proofErr w:type="spell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12EF6" w:rsidRPr="007C39EC" w:rsidRDefault="008C227D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П.Н.Горбатков</w:t>
            </w:r>
            <w:proofErr w:type="spellEnd"/>
          </w:p>
        </w:tc>
      </w:tr>
    </w:tbl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P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к Положению "О публичных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412EF6" w:rsidRPr="007C39EC">
        <w:rPr>
          <w:rFonts w:ascii="Times New Roman" w:hAnsi="Times New Roman" w:cs="Times New Roman"/>
          <w:sz w:val="28"/>
          <w:szCs w:val="28"/>
        </w:rPr>
        <w:t>»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F6" w:rsidRPr="007C39EC" w:rsidRDefault="00242A2F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____________________________________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(наименование территории, где проводится сбор подписей граждан) </w:t>
      </w:r>
    </w:p>
    <w:p w:rsidR="00412EF6" w:rsidRPr="007C39EC" w:rsidRDefault="00412EF6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6055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инициативу о проведении публичных </w:t>
      </w:r>
      <w:proofErr w:type="gramStart"/>
      <w:r w:rsidRPr="007C39EC">
        <w:rPr>
          <w:rFonts w:ascii="Times New Roman" w:hAnsi="Times New Roman" w:cs="Times New Roman"/>
          <w:sz w:val="28"/>
          <w:szCs w:val="28"/>
        </w:rPr>
        <w:t>слушаний</w:t>
      </w:r>
      <w:r w:rsidR="006055E6" w:rsidRPr="007C39EC">
        <w:rPr>
          <w:rFonts w:ascii="Times New Roman" w:hAnsi="Times New Roman" w:cs="Times New Roman"/>
          <w:sz w:val="28"/>
          <w:szCs w:val="28"/>
        </w:rPr>
        <w:t xml:space="preserve">  </w:t>
      </w:r>
      <w:r w:rsidRPr="007C39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>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055E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(формулировка вопроса)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377"/>
        <w:gridCol w:w="1385"/>
        <w:gridCol w:w="1577"/>
        <w:gridCol w:w="1835"/>
        <w:gridCol w:w="1250"/>
        <w:gridCol w:w="1274"/>
      </w:tblGrid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5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</w:p>
    <w:sectPr w:rsidR="00136A56" w:rsidRPr="007C39EC" w:rsidSect="0013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F"/>
    <w:rsid w:val="00135A7B"/>
    <w:rsid w:val="00136A56"/>
    <w:rsid w:val="00242A2F"/>
    <w:rsid w:val="002A064E"/>
    <w:rsid w:val="00313729"/>
    <w:rsid w:val="003D23CF"/>
    <w:rsid w:val="00412EF6"/>
    <w:rsid w:val="005A571B"/>
    <w:rsid w:val="005A7165"/>
    <w:rsid w:val="006055E6"/>
    <w:rsid w:val="00765645"/>
    <w:rsid w:val="007C39EC"/>
    <w:rsid w:val="007E4743"/>
    <w:rsid w:val="00833BBC"/>
    <w:rsid w:val="008C227D"/>
    <w:rsid w:val="008E4D39"/>
    <w:rsid w:val="00A272AC"/>
    <w:rsid w:val="00B34A5A"/>
    <w:rsid w:val="00B94E8C"/>
    <w:rsid w:val="00C56336"/>
    <w:rsid w:val="00C8523A"/>
    <w:rsid w:val="00C92ECB"/>
    <w:rsid w:val="00CF512B"/>
    <w:rsid w:val="00D20D8F"/>
    <w:rsid w:val="00D504F2"/>
    <w:rsid w:val="00E66355"/>
    <w:rsid w:val="00EF0BC7"/>
    <w:rsid w:val="00FB333C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8B0"/>
  <w15:docId w15:val="{87AE9B69-B7DC-4E12-B35E-9275E1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92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0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8250-4EB6-44E3-9F9F-7DD0430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2019-12-12T14:35:00Z</cp:lastPrinted>
  <dcterms:created xsi:type="dcterms:W3CDTF">2019-12-12T14:36:00Z</dcterms:created>
  <dcterms:modified xsi:type="dcterms:W3CDTF">2019-12-12T14:36:00Z</dcterms:modified>
</cp:coreProperties>
</file>